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2025年学校师德师风建设工作总结</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师德师风建设...</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2025年学校师德师风建设工作总结，希望对大家有所帮助![_TAG_h2]　　2025年学校师德师风建设工作总结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　　2025年学校师德师风建设工作总结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2025年学校师德师风建设工作总结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