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2025年移动公司个人年度工作总结(五篇)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及计划一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移动公司个人工作总结及计划一</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移动公司个人工作总结及计划二</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本站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本站，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移动公司个人工作总结及计划四</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移动公司个人工作总结及计划五</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5.0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通过后实施。核桃发展较好，消水河、绿水安固河、黄渡河速丰林较好，需要加强管护，黄渡和绿井的中药材金银花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 岗位坚定是很好的，我感觉坚定岗位是办公室和公安的同志是最值得学习的。能主动协助配合其它股室 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 工作关系。在这种环境下，能够干事业，能够干好事业。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金银花，还可以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 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