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精选医院科室第一季度工作总结(7篇)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精选医院科室第一季度工作总结一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精选医院科室第一季度工作总结四</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精选医院科室第一季度工作总结五</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精选医院科室第一季度工作总结七</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