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2025年食堂管理员个人工作总结 食堂管理年终工作总结(4篇)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 食堂管理年终工作总结一一、精打细算，较好地保障了全年经营收支全年食堂共刷卡7878人次，食堂工作餐共计610元，食堂收入共计40000元;全年客餐收入共计49884元，客餐利润共计11816元，其中外包人员加班费共计...</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