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2025年水浒传读后感600字 水浒传读后感600字小学(七篇)</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水浒传读后感600字 水浒传读后感600字小学一武松为什么会打虎呢？因为武松是要回家看望他的哥哥，途中路过景阳冈，在刚下酒店里喝了很多酒，兴不多事，只见一棵大树上写着：近因景阳冈大虫伤人，但有过往客商，可于巳、午、未三个时辰结伙成队过冈。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水浒传读后感600字小学一</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水浒传读后感600字小学二</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水浒传读后感600字小学三</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水浒传读后感600字小学四</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水浒传读后感600字小学五</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水浒传读后感600字小学六</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水浒传读后感600字小学七</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