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最新改革攻坚领航观后感范文(四篇)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改革攻坚领航观后感范文一我市列入省816户之中的12户重点企业，职工人数4861人，其中退休人员890人，在职职工3971人。资产总额21834万元;负债总额43580万元;资产负债率为200;应支付的改革成本为4894万元，其中：拖欠...</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最新改革攻坚领航观后感范文一</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xx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xx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破解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xx年底派出12名同志到省里参加省委组织部组织的国企改革培训班。之后于20xx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最新改革攻坚领航观后感范文二</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__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__年底派出12名同志到省里参加省委组织部组织的国企改革培训班。之后于20__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最新改革攻坚领航观后感范文三</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邓小平理论、“三个代表”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xx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xx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破解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xx年底派出12名同志到省里参加省委组织部组织的国企改革培训班。之后于20xx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最新改革攻坚领航观后感范文四</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__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__年底派出12名同志到省里参加省委组织部组织的国企改革培训班。之后于20__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