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银行实习日记(28篇)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银行实习日记一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银行实习日记一</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银行实习日记二</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银行实习日记三</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银行实习日记四</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银行实习日记七</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银行实习日记八</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银行实习日记九</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4"/>
          <w:szCs w:val="34"/>
          <w:b w:val="1"/>
          <w:bCs w:val="1"/>
        </w:rPr>
        <w:t xml:space="preserve">银行实习日记篇十一</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银行实习日记篇十三</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银行实习日记篇十四</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2025-08-03T04:39:40+08:00</dcterms:created>
  <dcterms:modified xsi:type="dcterms:W3CDTF">2025-08-03T04:39:40+08:00</dcterms:modified>
</cp:coreProperties>
</file>

<file path=docProps/custom.xml><?xml version="1.0" encoding="utf-8"?>
<Properties xmlns="http://schemas.openxmlformats.org/officeDocument/2006/custom-properties" xmlns:vt="http://schemas.openxmlformats.org/officeDocument/2006/docPropsVTypes"/>
</file>