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各类公文写作范文模板文库(合集19篇)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文库1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各类公文写作范文模板文库2</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各类公文写作范文模板文库3</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各类公文写作范文模板文库4</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各类公文写作范文模板文库5</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各类公文写作范文模板文库6</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各类公文写作范文模板文库7</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各类公文写作范文模板文库8</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各类公文写作范文模板文库9</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各类公文写作范文模板文库10</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各类公文写作范文模板文库11</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各类公文写作范文模板文库12</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各类公文写作范文模板文库14</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各类公文写作范文模板文库15</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各类公文写作范文模板文库16</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各类公文写作范文模板文库17</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各类公文写作范文模板文库18</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各类公文写作范文模板文库19</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