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工商局副局长民主生活会发言材料</w:t>
      </w:r>
      <w:bookmarkEnd w:id="1"/>
    </w:p>
    <w:p>
      <w:pPr>
        <w:jc w:val="center"/>
        <w:spacing w:before="0" w:after="450"/>
      </w:pPr>
      <w:r>
        <w:rPr>
          <w:rFonts w:ascii="Arial" w:hAnsi="Arial" w:eastAsia="Arial" w:cs="Arial"/>
          <w:color w:val="999999"/>
          <w:sz w:val="20"/>
          <w:szCs w:val="20"/>
        </w:rPr>
        <w:t xml:space="preserve">来源：网络  作者：梦中情人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工商局副局长民主生活会发言材料   按照市纪委、组织部《关于开好20xx年度县以上党和国家机关党员领导干部民主生活会的通知》要求，自己对照“三个代表”重要思想和《党章》规定的党员标准，对照“两个务必”、“八个坚持、八个反对”、“四大纪律、...</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w:t>
      </w:r>
    </w:p>
    <w:p>
      <w:pPr>
        <w:ind w:left="0" w:right="0" w:firstLine="560"/>
        <w:spacing w:before="450" w:after="450" w:line="312" w:lineRule="auto"/>
      </w:pPr>
      <w:r>
        <w:rPr>
          <w:rFonts w:ascii="宋体" w:hAnsi="宋体" w:eastAsia="宋体" w:cs="宋体"/>
          <w:color w:val="000"/>
          <w:sz w:val="28"/>
          <w:szCs w:val="28"/>
        </w:rPr>
        <w:t xml:space="preserve">工商局副局长民主生活会发言材料第2页</w:t>
      </w:r>
    </w:p>
    <w:p>
      <w:pPr>
        <w:ind w:left="0" w:right="0" w:firstLine="560"/>
        <w:spacing w:before="450" w:after="450" w:line="312" w:lineRule="auto"/>
      </w:pPr>
      <w:r>
        <w:rPr>
          <w:rFonts w:ascii="宋体" w:hAnsi="宋体" w:eastAsia="宋体" w:cs="宋体"/>
          <w:color w:val="000"/>
          <w:sz w:val="28"/>
          <w:szCs w:val="28"/>
        </w:rPr>
        <w:t xml:space="preserve">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2025-08-03T04:19:21+08:00</dcterms:created>
  <dcterms:modified xsi:type="dcterms:W3CDTF">2025-08-03T04:19:21+08:00</dcterms:modified>
</cp:coreProperties>
</file>

<file path=docProps/custom.xml><?xml version="1.0" encoding="utf-8"?>
<Properties xmlns="http://schemas.openxmlformats.org/officeDocument/2006/custom-properties" xmlns:vt="http://schemas.openxmlformats.org/officeDocument/2006/docPropsVTypes"/>
</file>