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最新常用公文种类 常用公文的格式及(十七篇)</w:t>
      </w:r>
      <w:bookmarkEnd w:id="1"/>
    </w:p>
    <w:p>
      <w:pPr>
        <w:jc w:val="center"/>
        <w:spacing w:before="0" w:after="450"/>
      </w:pPr>
      <w:r>
        <w:rPr>
          <w:rFonts w:ascii="Arial" w:hAnsi="Arial" w:eastAsia="Arial" w:cs="Arial"/>
          <w:color w:val="999999"/>
          <w:sz w:val="20"/>
          <w:szCs w:val="20"/>
        </w:rPr>
        <w:t xml:space="preserve">来源：网络  作者：烟雨蒙蒙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常用公文种类 常用公文的格式及一格式内容：各种请柬内容不同，形式各有区别，但都必须将举办活动的名称、时间、地点、主办人、被邀请人写明白。范例参考：请 柬:兹订干200x年xx月xx日至xx月xx日，在华侨大厦召开xx名酒展销会，并于xx月x...</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常用公文的格式及一</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各种请柬内容不同，形式各有区别，但都必须将举办活动的名称、时间、地点、主办人、被邀请人写明白。</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兹订干200x年xx月xx日至xx月xx日，在华侨大厦召开xx名酒展销会，并于xx月xx日中午时分假座华桥大酒家举行开幕典礼，敬备酒宴恭候。请届时光临。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常用公文的格式及二</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常用公文的格式及三</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常用公文的格式及四</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为了进一步推进我局党建工作的规范化、信息化，切实加强对全系统党员干部的日常管理。我局党组经研究决定，拟组建环保党建内部局域网、电子政务网、外网和建立全系统党员干部信息数据库、党员手机网等系列党建工程，实现相关数据、资料由信息库直接生成并通过内网报道，党员信息实行网上调转，广大党员干部实时掌握党的信息、环保动态，达到紧紧围绕环保抓党建、抓好党建促环保的目标。经测算，我局建设上述党建工程及日常工作维护约需经费40余万元，现恳请市委能给予20万元的经费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常用公文写作范文相关文章：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常用公文的格式及六</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常用公文的格式及七</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常用公文的格式及八</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7394617.81元。其中体育公园垫付5669517.81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亚高原训练基地已经20xx年市政府第6次常务会议通过，规划定点于榆中县城关镇峡口村，建设亚高原训练基地占地502市亩，总投资2.3 亿元。截止20xx年，该项目已通过立项、可行性研究报告、专家论证和设计等工作。项目已投资3800万元，垫付体育公园建设1072669.31元，市体校暂借1500000元，结余7628069.12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常用公文的格式及九</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0.5%。</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依据《中华人民共和国保险法》(20xx年修正，以下简称《保险法》)的有关规定，我局对财产保险股份有限公司分公司进行了现场调查。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经查，20xx年12月-20xx年3月，财产保险股份有限公司分公司七星团队利用广西正泰保险代理有限责任公司分公司虚构保险中介业务套取费用，涉及虚假中介业务135.53万元，手续费26.8万元。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现场检查事实确认书、财产保险股份有限公司分公司关于虚挂业务套取费用的情况说明、广西正泰保险代理有限责任公司分公司情况说明、代理委托合同补充协议复印件、虚挂业务清单、财产保险股份有限公司分公司手续费支付汇总表复印件、中国建设银行网上银行电子回单复印件、相关人员询问笔录、关于财产保险股份有限公司分公司与广西正泰保险代理有限公司分公司违规开展代理保险业务的情况报告、相关人员任职文件等证据材料在案证明。</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请在接到本处罚决定书之日起15日内缴纳罚款，户名：中国保险监督管理委员会广西监管局，账号：450000003，开户银行：中国建设银行股份有限公司南宁嘉宾路支行。逾期将每日按罚款数额的3%加处罚款。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保监会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常用公文种类 常用公文的格式及篇十一</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五、完善城市基础设施体系。要加快公路、铁路、机场和港口等交通基础设施建设，改善城市与周边地区交通运输条件，把xx市建设成为长江上游地区综合交通枢纽和国际贸易大通道。加强轨道交通的规划建设，建立以公共交通为主体，各种交通方式相结合的多层次、多类型的城市综合交通系统。要高度重视城市地下管网的规划、建设和管理，统筹规划建设城市供水水源、给排水、污水和垃圾处理等基础设施，划定基础设施黄线保护范围，保障建设实施。重视城市防灾减灾工作，加强重点防灾设施和灾害监测预警系统的建设，建立健全城市综合防灾体系，重点提高城市应对地震、洪涝和地质灾害能力。城镇基础设施、公共服务设施建设，应当统筹考虑为周边农村服务。加快完善旅游公共服务设施，发挥集散地枢纽功能。</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xx市人民政府要根据本通知精神，认真组织实施《总体规划》，任何单位和个人不得随意改变。住房城乡建设部要加强对《总体规划》实施工作的指导、监督和检查。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常用公文的格式及篇十二</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二、协会的行业管理单位为中共xx市委宣传部，登记管理单位为xx市民政局，业务指导单位为xx市工商联。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国务院《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常用公文的格式及篇十三</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1.标题。一般写成\"关于批复\"。</w:t>
      </w:r>
    </w:p>
    <w:p>
      <w:pPr>
        <w:ind w:left="0" w:right="0" w:firstLine="560"/>
        <w:spacing w:before="450" w:after="450" w:line="312" w:lineRule="auto"/>
      </w:pPr>
      <w:r>
        <w:rPr>
          <w:rFonts w:ascii="宋体" w:hAnsi="宋体" w:eastAsia="宋体" w:cs="宋体"/>
          <w:color w:val="000"/>
          <w:sz w:val="28"/>
          <w:szCs w:val="28"/>
        </w:rPr>
        <w:t xml:space="preserve">2.原由。一般写成 \"[]号文收悉\"。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中国证券监督管理委员会关于新华期货经纪有限公司的批复 证监期审字 []号</w:t>
      </w:r>
    </w:p>
    <w:p>
      <w:pPr>
        <w:ind w:left="0" w:right="0" w:firstLine="560"/>
        <w:spacing w:before="450" w:after="450" w:line="312" w:lineRule="auto"/>
      </w:pPr>
      <w:r>
        <w:rPr>
          <w:rFonts w:ascii="宋体" w:hAnsi="宋体" w:eastAsia="宋体" w:cs="宋体"/>
          <w:color w:val="000"/>
          <w:sz w:val="28"/>
          <w:szCs w:val="28"/>
        </w:rPr>
        <w:t xml:space="preserve">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小兄上 6月17日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常用公文的格式及篇十四</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一是要求按照出台的20xxx年调整企业退休人员基本养老金文件标准增加生活费人均122.50元;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常用公文的格式及篇十五</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国务院办公厅关于羊毛产销和质量等问题的函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为进一步发展我国羊毛生产,搞活羊毛流通,提高羊毛质量,根据国务院领导同志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常用公文的格式及篇十六</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常用公文的格式及篇十七</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2025-07-13T09:03:08+08:00</dcterms:created>
  <dcterms:modified xsi:type="dcterms:W3CDTF">2025-07-13T09:03:08+08:00</dcterms:modified>
</cp:coreProperties>
</file>

<file path=docProps/custom.xml><?xml version="1.0" encoding="utf-8"?>
<Properties xmlns="http://schemas.openxmlformats.org/officeDocument/2006/custom-properties" xmlns:vt="http://schemas.openxmlformats.org/officeDocument/2006/docPropsVTypes"/>
</file>